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98B70">
      <w:pPr>
        <w:pStyle w:val="2"/>
        <w:widowControl w:val="0"/>
        <w:spacing w:before="100" w:after="0" w:line="360" w:lineRule="auto"/>
        <w:rPr>
          <w:rFonts w:ascii="Times New Roman" w:hAnsi="Times New Roman" w:eastAsia="宋体" w:cs="Times New Roman"/>
          <w:kern w:val="2"/>
          <w:sz w:val="28"/>
        </w:rPr>
      </w:pPr>
      <w:bookmarkStart w:id="0" w:name="_Toc10550"/>
      <w:r>
        <w:rPr>
          <w:rFonts w:hint="eastAsia" w:ascii="Times New Roman" w:hAnsi="Times New Roman" w:eastAsia="宋体" w:cs="Times New Roman"/>
          <w:kern w:val="2"/>
          <w:sz w:val="28"/>
        </w:rPr>
        <w:t>附件1：招标公告附表</w:t>
      </w:r>
      <w:bookmarkEnd w:id="0"/>
    </w:p>
    <w:tbl>
      <w:tblPr>
        <w:tblStyle w:val="6"/>
        <w:tblW w:w="5027" w:type="pct"/>
        <w:tblInd w:w="-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2"/>
        <w:gridCol w:w="825"/>
        <w:gridCol w:w="981"/>
        <w:gridCol w:w="2031"/>
        <w:gridCol w:w="825"/>
        <w:gridCol w:w="543"/>
        <w:gridCol w:w="604"/>
        <w:gridCol w:w="3862"/>
        <w:gridCol w:w="808"/>
        <w:gridCol w:w="690"/>
        <w:gridCol w:w="823"/>
        <w:gridCol w:w="823"/>
        <w:gridCol w:w="823"/>
      </w:tblGrid>
      <w:tr w14:paraId="2B5AA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trPr>
        <w:tc>
          <w:tcPr>
            <w:tcW w:w="214" w:type="pct"/>
            <w:tcBorders>
              <w:tl2br w:val="nil"/>
              <w:tr2bl w:val="nil"/>
            </w:tcBorders>
            <w:shd w:val="clear" w:color="auto" w:fill="auto"/>
            <w:vAlign w:val="center"/>
          </w:tcPr>
          <w:p w14:paraId="3B42A4DB">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序号</w:t>
            </w:r>
          </w:p>
        </w:tc>
        <w:tc>
          <w:tcPr>
            <w:tcW w:w="289" w:type="pct"/>
            <w:tcBorders>
              <w:tl2br w:val="nil"/>
              <w:tr2bl w:val="nil"/>
            </w:tcBorders>
            <w:shd w:val="clear" w:color="auto" w:fill="auto"/>
            <w:vAlign w:val="center"/>
          </w:tcPr>
          <w:p w14:paraId="558FCB1B">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包件号</w:t>
            </w:r>
          </w:p>
        </w:tc>
        <w:tc>
          <w:tcPr>
            <w:tcW w:w="344" w:type="pct"/>
            <w:tcBorders>
              <w:tl2br w:val="nil"/>
              <w:tr2bl w:val="nil"/>
            </w:tcBorders>
            <w:shd w:val="clear" w:color="auto" w:fill="auto"/>
            <w:vAlign w:val="center"/>
          </w:tcPr>
          <w:p w14:paraId="10F2E842">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包件名称</w:t>
            </w:r>
          </w:p>
        </w:tc>
        <w:tc>
          <w:tcPr>
            <w:tcW w:w="712" w:type="pct"/>
            <w:tcBorders>
              <w:tl2br w:val="nil"/>
              <w:tr2bl w:val="nil"/>
            </w:tcBorders>
            <w:shd w:val="clear" w:color="auto" w:fill="auto"/>
            <w:vAlign w:val="center"/>
          </w:tcPr>
          <w:p w14:paraId="0FD48EE2">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物资名称</w:t>
            </w:r>
          </w:p>
        </w:tc>
        <w:tc>
          <w:tcPr>
            <w:tcW w:w="289" w:type="pct"/>
            <w:tcBorders>
              <w:tl2br w:val="nil"/>
              <w:tr2bl w:val="nil"/>
            </w:tcBorders>
            <w:shd w:val="clear" w:color="auto" w:fill="auto"/>
            <w:vAlign w:val="center"/>
          </w:tcPr>
          <w:p w14:paraId="3D76A57B">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规格</w:t>
            </w:r>
          </w:p>
          <w:p w14:paraId="60BB5252">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型号</w:t>
            </w:r>
          </w:p>
        </w:tc>
        <w:tc>
          <w:tcPr>
            <w:tcW w:w="190" w:type="pct"/>
            <w:tcBorders>
              <w:tl2br w:val="nil"/>
              <w:tr2bl w:val="nil"/>
            </w:tcBorders>
            <w:shd w:val="clear" w:color="auto" w:fill="auto"/>
            <w:vAlign w:val="center"/>
          </w:tcPr>
          <w:p w14:paraId="59BD2CB4">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计量单位</w:t>
            </w:r>
          </w:p>
        </w:tc>
        <w:tc>
          <w:tcPr>
            <w:tcW w:w="212" w:type="pct"/>
            <w:tcBorders>
              <w:tl2br w:val="nil"/>
              <w:tr2bl w:val="nil"/>
            </w:tcBorders>
            <w:shd w:val="clear" w:color="auto" w:fill="auto"/>
            <w:vAlign w:val="center"/>
          </w:tcPr>
          <w:p w14:paraId="1B8F6CF2">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需求数量</w:t>
            </w:r>
          </w:p>
        </w:tc>
        <w:tc>
          <w:tcPr>
            <w:tcW w:w="1354" w:type="pct"/>
            <w:tcBorders>
              <w:tl2br w:val="nil"/>
              <w:tr2bl w:val="nil"/>
            </w:tcBorders>
            <w:shd w:val="clear" w:color="auto" w:fill="auto"/>
            <w:noWrap/>
            <w:vAlign w:val="center"/>
          </w:tcPr>
          <w:p w14:paraId="39CEED85">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资格条件</w:t>
            </w:r>
          </w:p>
        </w:tc>
        <w:tc>
          <w:tcPr>
            <w:tcW w:w="283" w:type="pct"/>
            <w:tcBorders>
              <w:tl2br w:val="nil"/>
              <w:tr2bl w:val="nil"/>
            </w:tcBorders>
            <w:shd w:val="clear" w:color="auto" w:fill="auto"/>
            <w:noWrap/>
            <w:vAlign w:val="center"/>
          </w:tcPr>
          <w:p w14:paraId="4FE26BD3">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交货    时间</w:t>
            </w:r>
          </w:p>
        </w:tc>
        <w:tc>
          <w:tcPr>
            <w:tcW w:w="242" w:type="pct"/>
            <w:tcBorders>
              <w:tl2br w:val="nil"/>
              <w:tr2bl w:val="nil"/>
            </w:tcBorders>
            <w:shd w:val="clear" w:color="auto" w:fill="auto"/>
            <w:vAlign w:val="center"/>
          </w:tcPr>
          <w:p w14:paraId="73078791">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交货  地点</w:t>
            </w:r>
          </w:p>
        </w:tc>
        <w:tc>
          <w:tcPr>
            <w:tcW w:w="289" w:type="pct"/>
            <w:tcBorders>
              <w:tl2br w:val="nil"/>
              <w:tr2bl w:val="nil"/>
            </w:tcBorders>
            <w:shd w:val="clear" w:color="auto" w:fill="auto"/>
            <w:vAlign w:val="center"/>
          </w:tcPr>
          <w:p w14:paraId="31C7EB73">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交货条件及状态</w:t>
            </w:r>
          </w:p>
        </w:tc>
        <w:tc>
          <w:tcPr>
            <w:tcW w:w="289" w:type="pct"/>
            <w:tcBorders>
              <w:tl2br w:val="nil"/>
              <w:tr2bl w:val="nil"/>
            </w:tcBorders>
            <w:shd w:val="clear" w:color="auto" w:fill="auto"/>
            <w:vAlign w:val="center"/>
          </w:tcPr>
          <w:p w14:paraId="4CE586BD">
            <w:pPr>
              <w:widowControl/>
              <w:jc w:val="center"/>
              <w:textAlignment w:val="center"/>
              <w:rPr>
                <w:rFonts w:ascii="宋体" w:hAnsi="宋体" w:cs="宋体"/>
                <w:b/>
                <w:bCs/>
                <w:color w:val="000000"/>
                <w:kern w:val="0"/>
                <w:sz w:val="16"/>
                <w:szCs w:val="16"/>
              </w:rPr>
            </w:pPr>
            <w:r>
              <w:rPr>
                <w:rFonts w:hint="eastAsia" w:ascii="宋体" w:hAnsi="宋体" w:cs="宋体"/>
                <w:b/>
                <w:bCs/>
                <w:color w:val="000000"/>
                <w:kern w:val="0"/>
                <w:sz w:val="16"/>
                <w:szCs w:val="16"/>
              </w:rPr>
              <w:t>收货</w:t>
            </w:r>
          </w:p>
          <w:p w14:paraId="13E2E7D2">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单位</w:t>
            </w:r>
          </w:p>
        </w:tc>
        <w:tc>
          <w:tcPr>
            <w:tcW w:w="289" w:type="pct"/>
            <w:tcBorders>
              <w:tl2br w:val="nil"/>
              <w:tr2bl w:val="nil"/>
            </w:tcBorders>
            <w:shd w:val="clear" w:color="auto" w:fill="auto"/>
            <w:noWrap/>
            <w:vAlign w:val="center"/>
          </w:tcPr>
          <w:p w14:paraId="71535329">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rPr>
              <w:t>备注</w:t>
            </w:r>
          </w:p>
        </w:tc>
      </w:tr>
      <w:tr w14:paraId="1E52E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2" w:hRule="atLeast"/>
        </w:trPr>
        <w:tc>
          <w:tcPr>
            <w:tcW w:w="214" w:type="pct"/>
            <w:tcBorders>
              <w:tl2br w:val="nil"/>
              <w:tr2bl w:val="nil"/>
            </w:tcBorders>
            <w:shd w:val="clear" w:color="auto" w:fill="auto"/>
            <w:vAlign w:val="center"/>
          </w:tcPr>
          <w:p w14:paraId="399D8065">
            <w:pPr>
              <w:widowControl/>
              <w:jc w:val="center"/>
              <w:textAlignment w:val="center"/>
              <w:rPr>
                <w:rFonts w:ascii="宋体" w:hAnsi="宋体" w:cs="宋体"/>
                <w:b/>
                <w:bCs/>
                <w:kern w:val="0"/>
                <w:sz w:val="16"/>
                <w:szCs w:val="15"/>
              </w:rPr>
            </w:pPr>
            <w:r>
              <w:rPr>
                <w:rFonts w:hint="eastAsia" w:ascii="宋体" w:hAnsi="宋体" w:cs="宋体"/>
                <w:b/>
                <w:bCs/>
                <w:kern w:val="0"/>
                <w:sz w:val="16"/>
                <w:szCs w:val="15"/>
              </w:rPr>
              <w:t>1</w:t>
            </w:r>
          </w:p>
        </w:tc>
        <w:tc>
          <w:tcPr>
            <w:tcW w:w="289" w:type="pct"/>
            <w:tcBorders>
              <w:tl2br w:val="nil"/>
              <w:tr2bl w:val="nil"/>
            </w:tcBorders>
            <w:shd w:val="clear" w:color="auto" w:fill="auto"/>
            <w:vAlign w:val="center"/>
          </w:tcPr>
          <w:p w14:paraId="4319F43F">
            <w:pPr>
              <w:widowControl/>
              <w:jc w:val="center"/>
              <w:textAlignment w:val="center"/>
              <w:rPr>
                <w:rFonts w:ascii="宋体" w:hAnsi="宋体" w:cs="宋体"/>
                <w:b/>
                <w:bCs/>
                <w:kern w:val="0"/>
                <w:sz w:val="16"/>
                <w:szCs w:val="15"/>
              </w:rPr>
            </w:pPr>
            <w:r>
              <w:rPr>
                <w:rFonts w:hint="eastAsia" w:ascii="宋体" w:hAnsi="宋体" w:cs="宋体"/>
                <w:b/>
                <w:bCs/>
                <w:kern w:val="0"/>
                <w:sz w:val="16"/>
                <w:szCs w:val="15"/>
              </w:rPr>
              <w:t>JW01</w:t>
            </w:r>
          </w:p>
        </w:tc>
        <w:tc>
          <w:tcPr>
            <w:tcW w:w="344" w:type="pct"/>
            <w:tcBorders>
              <w:tl2br w:val="nil"/>
              <w:tr2bl w:val="nil"/>
            </w:tcBorders>
            <w:shd w:val="clear" w:color="auto" w:fill="auto"/>
            <w:vAlign w:val="center"/>
          </w:tcPr>
          <w:p w14:paraId="278BFA00">
            <w:pPr>
              <w:widowControl/>
              <w:jc w:val="center"/>
              <w:textAlignment w:val="center"/>
              <w:rPr>
                <w:rFonts w:ascii="宋体" w:hAnsi="宋体" w:cs="宋体"/>
                <w:b/>
                <w:bCs/>
                <w:kern w:val="0"/>
                <w:sz w:val="16"/>
                <w:szCs w:val="15"/>
              </w:rPr>
            </w:pPr>
            <w:r>
              <w:rPr>
                <w:rFonts w:hint="eastAsia" w:ascii="宋体" w:hAnsi="宋体" w:cs="宋体"/>
                <w:b/>
                <w:bCs/>
                <w:kern w:val="0"/>
                <w:sz w:val="16"/>
                <w:szCs w:val="15"/>
              </w:rPr>
              <w:t>机车运用安全设备(动车组列车驾驶仿真培训系统)</w:t>
            </w:r>
          </w:p>
        </w:tc>
        <w:tc>
          <w:tcPr>
            <w:tcW w:w="712" w:type="pct"/>
            <w:tcBorders>
              <w:tl2br w:val="nil"/>
              <w:tr2bl w:val="nil"/>
            </w:tcBorders>
            <w:shd w:val="clear" w:color="auto" w:fill="auto"/>
            <w:vAlign w:val="center"/>
          </w:tcPr>
          <w:p w14:paraId="209515E7">
            <w:pPr>
              <w:widowControl/>
              <w:jc w:val="center"/>
              <w:textAlignment w:val="center"/>
              <w:rPr>
                <w:rFonts w:ascii="宋体" w:hAnsi="宋体" w:cs="宋体"/>
                <w:b w:val="0"/>
                <w:bCs w:val="0"/>
                <w:kern w:val="0"/>
                <w:sz w:val="16"/>
                <w:szCs w:val="15"/>
              </w:rPr>
            </w:pPr>
            <w:r>
              <w:rPr>
                <w:rFonts w:hint="eastAsia" w:ascii="宋体" w:hAnsi="宋体" w:cs="宋体"/>
                <w:b w:val="0"/>
                <w:bCs w:val="0"/>
                <w:kern w:val="0"/>
                <w:sz w:val="16"/>
                <w:szCs w:val="15"/>
              </w:rPr>
              <w:t>动车组列车驾驶仿真培训系统</w:t>
            </w:r>
          </w:p>
        </w:tc>
        <w:tc>
          <w:tcPr>
            <w:tcW w:w="289" w:type="pct"/>
            <w:tcBorders>
              <w:tl2br w:val="nil"/>
              <w:tr2bl w:val="nil"/>
            </w:tcBorders>
            <w:shd w:val="clear" w:color="auto" w:fill="auto"/>
            <w:vAlign w:val="center"/>
          </w:tcPr>
          <w:p w14:paraId="1C187EDE">
            <w:pPr>
              <w:widowControl/>
              <w:jc w:val="center"/>
              <w:textAlignment w:val="center"/>
              <w:rPr>
                <w:rFonts w:ascii="宋体" w:hAnsi="宋体" w:cs="宋体"/>
                <w:b w:val="0"/>
                <w:bCs w:val="0"/>
                <w:kern w:val="0"/>
                <w:sz w:val="16"/>
                <w:szCs w:val="15"/>
              </w:rPr>
            </w:pPr>
            <w:r>
              <w:rPr>
                <w:rFonts w:hint="eastAsia" w:ascii="宋体" w:hAnsi="宋体" w:cs="宋体"/>
                <w:b w:val="0"/>
                <w:bCs w:val="0"/>
                <w:kern w:val="0"/>
                <w:sz w:val="16"/>
                <w:szCs w:val="15"/>
              </w:rPr>
              <w:t>详见技术规格书</w:t>
            </w:r>
          </w:p>
        </w:tc>
        <w:tc>
          <w:tcPr>
            <w:tcW w:w="190" w:type="pct"/>
            <w:tcBorders>
              <w:tl2br w:val="nil"/>
              <w:tr2bl w:val="nil"/>
            </w:tcBorders>
            <w:shd w:val="clear" w:color="auto" w:fill="auto"/>
            <w:vAlign w:val="center"/>
          </w:tcPr>
          <w:p w14:paraId="51A0E79E">
            <w:pPr>
              <w:widowControl/>
              <w:jc w:val="center"/>
              <w:textAlignment w:val="center"/>
              <w:rPr>
                <w:rFonts w:ascii="宋体" w:hAnsi="宋体" w:cs="宋体"/>
                <w:b w:val="0"/>
                <w:bCs w:val="0"/>
                <w:kern w:val="0"/>
                <w:sz w:val="16"/>
                <w:szCs w:val="15"/>
              </w:rPr>
            </w:pPr>
            <w:r>
              <w:rPr>
                <w:rFonts w:hint="eastAsia" w:ascii="宋体" w:hAnsi="宋体" w:cs="宋体"/>
                <w:b w:val="0"/>
                <w:bCs w:val="0"/>
                <w:kern w:val="0"/>
                <w:sz w:val="16"/>
                <w:szCs w:val="15"/>
              </w:rPr>
              <w:t>套</w:t>
            </w:r>
          </w:p>
        </w:tc>
        <w:tc>
          <w:tcPr>
            <w:tcW w:w="212" w:type="pct"/>
            <w:tcBorders>
              <w:tl2br w:val="nil"/>
              <w:tr2bl w:val="nil"/>
            </w:tcBorders>
            <w:shd w:val="clear" w:color="auto" w:fill="auto"/>
            <w:vAlign w:val="center"/>
          </w:tcPr>
          <w:p w14:paraId="2F8014BE">
            <w:pPr>
              <w:widowControl/>
              <w:jc w:val="center"/>
              <w:textAlignment w:val="center"/>
              <w:rPr>
                <w:rFonts w:ascii="宋体" w:hAnsi="宋体" w:cs="宋体"/>
                <w:b w:val="0"/>
                <w:bCs w:val="0"/>
                <w:kern w:val="0"/>
                <w:sz w:val="16"/>
                <w:szCs w:val="15"/>
              </w:rPr>
            </w:pPr>
            <w:r>
              <w:rPr>
                <w:rFonts w:hint="eastAsia" w:ascii="宋体" w:hAnsi="宋体" w:cs="宋体"/>
                <w:b w:val="0"/>
                <w:bCs w:val="0"/>
                <w:kern w:val="0"/>
                <w:sz w:val="16"/>
                <w:szCs w:val="15"/>
              </w:rPr>
              <w:t>1</w:t>
            </w:r>
          </w:p>
        </w:tc>
        <w:tc>
          <w:tcPr>
            <w:tcW w:w="1354" w:type="pct"/>
            <w:tcBorders>
              <w:tl2br w:val="nil"/>
              <w:tr2bl w:val="nil"/>
            </w:tcBorders>
            <w:shd w:val="clear" w:color="auto" w:fill="auto"/>
            <w:vAlign w:val="center"/>
          </w:tcPr>
          <w:p w14:paraId="56344F83">
            <w:pPr>
              <w:widowControl/>
              <w:jc w:val="left"/>
              <w:textAlignment w:val="center"/>
              <w:rPr>
                <w:rFonts w:ascii="宋体" w:hAnsi="宋体" w:cs="宋体"/>
                <w:kern w:val="0"/>
                <w:sz w:val="16"/>
                <w:szCs w:val="15"/>
              </w:rPr>
            </w:pPr>
            <w:r>
              <w:rPr>
                <w:rFonts w:hint="eastAsia" w:ascii="宋体" w:hAnsi="宋体" w:cs="宋体"/>
                <w:kern w:val="0"/>
                <w:sz w:val="16"/>
                <w:szCs w:val="15"/>
                <w:highlight w:val="none"/>
              </w:rPr>
              <w:t>1.在中华人民共和国境内依法注册，具有法人资格的生产商。                                             2.投标人应提供近三年（2022年-2024年）内任意一年经会计师事务所或审计机构审计的符合国家规定的财务会计报表；                                                       3.投标人须提供动车组列车驾驶仿真培训系统（须包含：CR400BF型、CR400AF型、CRH380A型、CRH380B型）近5年（自2020年</w:t>
            </w:r>
            <w:r>
              <w:rPr>
                <w:rFonts w:hint="eastAsia" w:ascii="宋体" w:hAnsi="宋体" w:cs="宋体"/>
                <w:kern w:val="0"/>
                <w:sz w:val="16"/>
                <w:szCs w:val="15"/>
                <w:highlight w:val="none"/>
                <w:lang w:val="en-US" w:eastAsia="zh-CN"/>
              </w:rPr>
              <w:t>8</w:t>
            </w:r>
            <w:r>
              <w:rPr>
                <w:rFonts w:hint="eastAsia" w:ascii="宋体" w:hAnsi="宋体" w:cs="宋体"/>
                <w:kern w:val="0"/>
                <w:sz w:val="16"/>
                <w:szCs w:val="15"/>
                <w:highlight w:val="none"/>
              </w:rPr>
              <w:t>月至投标截止日，以合同签订时间为准）在国内铁路的供货业绩，须提供对应的中标通知书、合同协议书、进场验收资料或对应的用户使用证明；</w:t>
            </w:r>
          </w:p>
        </w:tc>
        <w:tc>
          <w:tcPr>
            <w:tcW w:w="283" w:type="pct"/>
            <w:tcBorders>
              <w:tl2br w:val="nil"/>
              <w:tr2bl w:val="nil"/>
            </w:tcBorders>
            <w:shd w:val="clear" w:color="auto" w:fill="auto"/>
            <w:vAlign w:val="center"/>
          </w:tcPr>
          <w:p w14:paraId="08F1EB71">
            <w:pPr>
              <w:widowControl/>
              <w:jc w:val="center"/>
              <w:textAlignment w:val="center"/>
              <w:rPr>
                <w:rFonts w:ascii="宋体" w:hAnsi="宋体" w:cs="宋体"/>
                <w:b/>
                <w:bCs/>
                <w:kern w:val="0"/>
                <w:sz w:val="16"/>
                <w:szCs w:val="15"/>
              </w:rPr>
            </w:pPr>
            <w:r>
              <w:rPr>
                <w:rFonts w:hint="eastAsia" w:ascii="宋体" w:hAnsi="宋体" w:cs="宋体"/>
                <w:b/>
                <w:bCs/>
                <w:kern w:val="0"/>
                <w:sz w:val="16"/>
                <w:szCs w:val="15"/>
                <w:highlight w:val="none"/>
              </w:rPr>
              <w:t>2025年</w:t>
            </w:r>
            <w:r>
              <w:rPr>
                <w:rFonts w:hint="eastAsia" w:ascii="宋体" w:hAnsi="宋体" w:cs="宋体"/>
                <w:b/>
                <w:bCs/>
                <w:kern w:val="0"/>
                <w:sz w:val="16"/>
                <w:szCs w:val="15"/>
                <w:highlight w:val="none"/>
                <w:lang w:val="en-US" w:eastAsia="zh-CN"/>
              </w:rPr>
              <w:t>10</w:t>
            </w:r>
            <w:r>
              <w:rPr>
                <w:rFonts w:hint="eastAsia" w:ascii="宋体" w:hAnsi="宋体" w:cs="宋体"/>
                <w:b/>
                <w:bCs/>
                <w:kern w:val="0"/>
                <w:sz w:val="16"/>
                <w:szCs w:val="15"/>
                <w:highlight w:val="none"/>
              </w:rPr>
              <w:t>月</w:t>
            </w:r>
          </w:p>
        </w:tc>
        <w:tc>
          <w:tcPr>
            <w:tcW w:w="242" w:type="pct"/>
            <w:tcBorders>
              <w:tl2br w:val="nil"/>
              <w:tr2bl w:val="nil"/>
            </w:tcBorders>
            <w:shd w:val="clear" w:color="auto" w:fill="auto"/>
            <w:vAlign w:val="center"/>
          </w:tcPr>
          <w:p w14:paraId="7BABAEE3">
            <w:pPr>
              <w:widowControl/>
              <w:jc w:val="center"/>
              <w:textAlignment w:val="center"/>
              <w:rPr>
                <w:rFonts w:ascii="宋体" w:hAnsi="宋体" w:cs="宋体"/>
                <w:b/>
                <w:bCs/>
                <w:kern w:val="0"/>
                <w:sz w:val="16"/>
                <w:szCs w:val="15"/>
              </w:rPr>
            </w:pPr>
            <w:r>
              <w:rPr>
                <w:rFonts w:hint="eastAsia" w:ascii="宋体" w:hAnsi="宋体" w:cs="宋体"/>
                <w:b/>
                <w:bCs/>
                <w:kern w:val="0"/>
                <w:sz w:val="16"/>
                <w:szCs w:val="15"/>
              </w:rPr>
              <w:t>北京城市副中心站</w:t>
            </w:r>
          </w:p>
        </w:tc>
        <w:tc>
          <w:tcPr>
            <w:tcW w:w="289" w:type="pct"/>
            <w:tcBorders>
              <w:tl2br w:val="nil"/>
              <w:tr2bl w:val="nil"/>
            </w:tcBorders>
            <w:shd w:val="clear" w:color="auto" w:fill="auto"/>
            <w:vAlign w:val="center"/>
          </w:tcPr>
          <w:p w14:paraId="227F1865">
            <w:pPr>
              <w:widowControl/>
              <w:jc w:val="center"/>
              <w:textAlignment w:val="center"/>
              <w:rPr>
                <w:rFonts w:ascii="宋体" w:hAnsi="宋体" w:cs="宋体"/>
                <w:b/>
                <w:bCs/>
                <w:kern w:val="0"/>
                <w:sz w:val="16"/>
                <w:szCs w:val="15"/>
              </w:rPr>
            </w:pPr>
            <w:r>
              <w:rPr>
                <w:rFonts w:hint="eastAsia" w:ascii="宋体" w:hAnsi="宋体" w:cs="宋体"/>
                <w:b/>
                <w:bCs/>
                <w:kern w:val="0"/>
                <w:sz w:val="16"/>
                <w:szCs w:val="15"/>
              </w:rPr>
              <w:t>包装完好车板交货</w:t>
            </w:r>
          </w:p>
        </w:tc>
        <w:tc>
          <w:tcPr>
            <w:tcW w:w="289" w:type="pct"/>
            <w:tcBorders>
              <w:tl2br w:val="nil"/>
              <w:tr2bl w:val="nil"/>
            </w:tcBorders>
            <w:shd w:val="clear" w:color="auto" w:fill="auto"/>
            <w:vAlign w:val="center"/>
          </w:tcPr>
          <w:p w14:paraId="3428C5C7">
            <w:pPr>
              <w:widowControl/>
              <w:jc w:val="center"/>
              <w:textAlignment w:val="center"/>
              <w:rPr>
                <w:rFonts w:ascii="宋体" w:hAnsi="宋体" w:cs="宋体"/>
                <w:b/>
                <w:bCs/>
                <w:kern w:val="0"/>
                <w:sz w:val="16"/>
                <w:szCs w:val="15"/>
              </w:rPr>
            </w:pPr>
            <w:r>
              <w:rPr>
                <w:rFonts w:hint="eastAsia" w:ascii="宋体" w:hAnsi="宋体" w:cs="宋体"/>
                <w:b/>
                <w:bCs/>
                <w:kern w:val="0"/>
                <w:sz w:val="16"/>
                <w:szCs w:val="15"/>
              </w:rPr>
              <w:t>中铁建电气化局</w:t>
            </w:r>
          </w:p>
        </w:tc>
        <w:tc>
          <w:tcPr>
            <w:tcW w:w="289" w:type="pct"/>
            <w:tcBorders>
              <w:tl2br w:val="nil"/>
              <w:tr2bl w:val="nil"/>
            </w:tcBorders>
            <w:shd w:val="clear" w:color="auto" w:fill="auto"/>
            <w:vAlign w:val="center"/>
          </w:tcPr>
          <w:p w14:paraId="60759B3A">
            <w:pPr>
              <w:widowControl/>
              <w:jc w:val="center"/>
              <w:textAlignment w:val="center"/>
              <w:rPr>
                <w:rFonts w:ascii="宋体" w:hAnsi="宋体" w:cs="宋体"/>
                <w:kern w:val="0"/>
                <w:sz w:val="16"/>
                <w:szCs w:val="15"/>
              </w:rPr>
            </w:pPr>
          </w:p>
        </w:tc>
      </w:tr>
    </w:tbl>
    <w:p w14:paraId="4B2D0724">
      <w:pPr>
        <w:pStyle w:val="3"/>
        <w:rPr>
          <w:lang w:bidi="en-US"/>
        </w:rPr>
        <w:sectPr>
          <w:footerReference r:id="rId7" w:type="first"/>
          <w:headerReference r:id="rId5" w:type="default"/>
          <w:footerReference r:id="rId6" w:type="default"/>
          <w:pgSz w:w="16838" w:h="11906" w:orient="landscape"/>
          <w:pgMar w:top="1080" w:right="1440" w:bottom="1080" w:left="1440" w:header="851" w:footer="992" w:gutter="0"/>
          <w:pgBorders>
            <w:top w:val="none" w:sz="0" w:space="0"/>
            <w:left w:val="none" w:sz="0" w:space="0"/>
            <w:bottom w:val="none" w:sz="0" w:space="0"/>
            <w:right w:val="none" w:sz="0" w:space="0"/>
          </w:pgBorders>
          <w:cols w:space="425" w:num="1"/>
          <w:docGrid w:linePitch="312" w:charSpace="0"/>
        </w:sectPr>
      </w:pPr>
    </w:p>
    <w:p w14:paraId="251F5431">
      <w:pPr>
        <w:rPr>
          <w:rFonts w:cs="Times New Roman"/>
          <w:b/>
          <w:bCs/>
          <w:sz w:val="28"/>
        </w:rPr>
      </w:pPr>
      <w:r>
        <w:rPr>
          <w:rFonts w:hint="eastAsia" w:cs="Times New Roman"/>
          <w:b/>
          <w:bCs/>
          <w:sz w:val="28"/>
        </w:rPr>
        <w:t>附件2：</w:t>
      </w:r>
    </w:p>
    <w:p w14:paraId="510891E3">
      <w:pPr>
        <w:tabs>
          <w:tab w:val="left" w:pos="7060"/>
          <w:tab w:val="left" w:pos="8000"/>
        </w:tabs>
        <w:ind w:firstLine="424" w:firstLineChars="202"/>
        <w:jc w:val="left"/>
        <w:rPr>
          <w:rFonts w:hAnsi="宋体"/>
          <w:kern w:val="0"/>
          <w:szCs w:val="21"/>
        </w:rPr>
      </w:pPr>
      <w:r>
        <w:rPr>
          <w:rFonts w:hint="eastAsia" w:hAnsi="宋体"/>
          <w:kern w:val="0"/>
          <w:szCs w:val="21"/>
        </w:rPr>
        <w:t>购买招标文件成功后，投标人如不能按时递交投标文件或放弃投标的，请于递交投标文件截止时间前5日，出具放弃投标的书面说明（须加盖公章，注明不参加的项目和包件号），将扫描件发送至</w:t>
      </w:r>
      <w:r>
        <w:rPr>
          <w:u w:val="single"/>
        </w:rPr>
        <w:t>_zgtwjtzb@163.com</w:t>
      </w:r>
      <w:r>
        <w:rPr>
          <w:rFonts w:hint="eastAsia" w:hAnsi="宋体"/>
          <w:kern w:val="0"/>
          <w:szCs w:val="21"/>
        </w:rPr>
        <w:t>，并电话与代理机构联系人进行确认。</w:t>
      </w:r>
    </w:p>
    <w:p w14:paraId="5EA1A49E">
      <w:pPr>
        <w:tabs>
          <w:tab w:val="left" w:pos="7060"/>
          <w:tab w:val="left" w:pos="8000"/>
        </w:tabs>
        <w:ind w:firstLine="424" w:firstLineChars="202"/>
        <w:jc w:val="left"/>
        <w:rPr>
          <w:rFonts w:hAnsi="宋体"/>
          <w:kern w:val="0"/>
          <w:szCs w:val="21"/>
        </w:rPr>
      </w:pPr>
    </w:p>
    <w:p w14:paraId="0AD61A59">
      <w:pPr>
        <w:tabs>
          <w:tab w:val="left" w:pos="7060"/>
          <w:tab w:val="left" w:pos="8000"/>
        </w:tabs>
        <w:ind w:firstLine="424" w:firstLineChars="202"/>
        <w:jc w:val="left"/>
        <w:rPr>
          <w:rFonts w:hAnsi="宋体"/>
          <w:kern w:val="0"/>
          <w:szCs w:val="21"/>
        </w:rPr>
      </w:pPr>
      <w:r>
        <w:rPr>
          <w:rFonts w:hint="eastAsia" w:hAnsi="宋体"/>
          <w:kern w:val="0"/>
          <w:szCs w:val="21"/>
        </w:rPr>
        <w:t>招标代理机构：中铁物总国际招标有限公司</w:t>
      </w:r>
    </w:p>
    <w:p w14:paraId="713BB6B3">
      <w:pPr>
        <w:tabs>
          <w:tab w:val="left" w:pos="7060"/>
          <w:tab w:val="left" w:pos="8000"/>
        </w:tabs>
        <w:ind w:firstLine="424" w:firstLineChars="202"/>
        <w:jc w:val="left"/>
        <w:rPr>
          <w:rFonts w:hAnsi="宋体"/>
          <w:kern w:val="0"/>
          <w:szCs w:val="21"/>
        </w:rPr>
      </w:pPr>
      <w:r>
        <w:rPr>
          <w:rFonts w:hint="eastAsia" w:hAnsi="宋体"/>
          <w:kern w:val="0"/>
          <w:szCs w:val="21"/>
        </w:rPr>
        <w:t>地址：北京市丰台区丽泽路54号鼎兴大厦A座11层</w:t>
      </w:r>
    </w:p>
    <w:p w14:paraId="546B11A9">
      <w:pPr>
        <w:tabs>
          <w:tab w:val="left" w:pos="7060"/>
          <w:tab w:val="left" w:pos="8000"/>
        </w:tabs>
        <w:ind w:firstLine="424" w:firstLineChars="202"/>
        <w:jc w:val="left"/>
        <w:rPr>
          <w:rFonts w:hAnsi="宋体"/>
          <w:kern w:val="0"/>
          <w:szCs w:val="21"/>
        </w:rPr>
      </w:pPr>
      <w:r>
        <w:rPr>
          <w:rFonts w:hint="eastAsia" w:hAnsi="宋体"/>
          <w:kern w:val="0"/>
          <w:szCs w:val="21"/>
        </w:rPr>
        <w:t>联系人：于伟</w:t>
      </w:r>
    </w:p>
    <w:p w14:paraId="08F1F163">
      <w:pPr>
        <w:tabs>
          <w:tab w:val="left" w:pos="7060"/>
          <w:tab w:val="left" w:pos="8000"/>
        </w:tabs>
        <w:ind w:firstLine="424" w:firstLineChars="202"/>
        <w:jc w:val="left"/>
        <w:rPr>
          <w:rFonts w:hint="eastAsia" w:hAnsi="宋体"/>
          <w:kern w:val="0"/>
          <w:szCs w:val="21"/>
          <w:lang w:val="en-US" w:eastAsia="zh-CN"/>
        </w:rPr>
      </w:pPr>
      <w:r>
        <w:rPr>
          <w:rFonts w:hint="eastAsia" w:hAnsi="宋体"/>
          <w:kern w:val="0"/>
          <w:szCs w:val="21"/>
        </w:rPr>
        <w:t>电话：1861164839</w:t>
      </w:r>
      <w:r>
        <w:rPr>
          <w:rFonts w:hint="eastAsia" w:hAnsi="宋体"/>
          <w:kern w:val="0"/>
          <w:szCs w:val="21"/>
          <w:lang w:val="en-US" w:eastAsia="zh-CN"/>
        </w:rPr>
        <w:t>3</w:t>
      </w:r>
    </w:p>
    <w:p w14:paraId="5C2BD47B">
      <w:pPr>
        <w:tabs>
          <w:tab w:val="left" w:pos="7060"/>
          <w:tab w:val="left" w:pos="8000"/>
        </w:tabs>
        <w:ind w:firstLine="424" w:firstLineChars="202"/>
        <w:jc w:val="left"/>
        <w:rPr>
          <w:rFonts w:hint="eastAsia" w:hAnsi="宋体"/>
          <w:kern w:val="0"/>
          <w:szCs w:val="21"/>
          <w:lang w:val="en-US" w:eastAsia="zh-CN"/>
        </w:rPr>
      </w:pPr>
    </w:p>
    <w:p w14:paraId="4E1FD131">
      <w:pPr>
        <w:tabs>
          <w:tab w:val="left" w:pos="7060"/>
          <w:tab w:val="left" w:pos="8000"/>
        </w:tabs>
        <w:ind w:firstLine="424" w:firstLineChars="202"/>
        <w:jc w:val="left"/>
        <w:rPr>
          <w:rFonts w:hint="eastAsia" w:hAnsi="宋体"/>
          <w:kern w:val="0"/>
          <w:szCs w:val="21"/>
          <w:lang w:val="en-US" w:eastAsia="zh-CN"/>
        </w:rPr>
      </w:pPr>
    </w:p>
    <w:p w14:paraId="524D5F34">
      <w:pPr>
        <w:tabs>
          <w:tab w:val="left" w:pos="7060"/>
          <w:tab w:val="left" w:pos="8000"/>
        </w:tabs>
        <w:ind w:firstLine="424" w:firstLineChars="202"/>
        <w:jc w:val="left"/>
        <w:rPr>
          <w:rFonts w:hint="eastAsia" w:hAnsi="宋体"/>
          <w:kern w:val="0"/>
          <w:szCs w:val="21"/>
          <w:lang w:val="en-US" w:eastAsia="zh-CN"/>
        </w:rPr>
      </w:pPr>
    </w:p>
    <w:p w14:paraId="491F2085">
      <w:pPr>
        <w:tabs>
          <w:tab w:val="left" w:pos="7060"/>
          <w:tab w:val="left" w:pos="8000"/>
        </w:tabs>
        <w:ind w:firstLine="424" w:firstLineChars="202"/>
        <w:jc w:val="left"/>
        <w:rPr>
          <w:rFonts w:hint="eastAsia" w:hAnsi="宋体"/>
          <w:kern w:val="0"/>
          <w:szCs w:val="21"/>
          <w:lang w:val="en-US" w:eastAsia="zh-CN"/>
        </w:rPr>
      </w:pPr>
    </w:p>
    <w:p w14:paraId="203EFC7E">
      <w:pPr>
        <w:tabs>
          <w:tab w:val="left" w:pos="7060"/>
          <w:tab w:val="left" w:pos="8000"/>
        </w:tabs>
        <w:ind w:firstLine="424" w:firstLineChars="202"/>
        <w:jc w:val="left"/>
        <w:rPr>
          <w:rFonts w:hint="eastAsia" w:hAnsi="宋体"/>
          <w:kern w:val="0"/>
          <w:szCs w:val="21"/>
          <w:lang w:val="en-US" w:eastAsia="zh-CN"/>
        </w:rPr>
      </w:pPr>
    </w:p>
    <w:p w14:paraId="03BE74C8">
      <w:pPr>
        <w:tabs>
          <w:tab w:val="left" w:pos="7060"/>
          <w:tab w:val="left" w:pos="8000"/>
        </w:tabs>
        <w:ind w:firstLine="424" w:firstLineChars="202"/>
        <w:jc w:val="left"/>
        <w:rPr>
          <w:rFonts w:hint="eastAsia" w:hAnsi="宋体"/>
          <w:kern w:val="0"/>
          <w:szCs w:val="21"/>
          <w:lang w:val="en-US" w:eastAsia="zh-CN"/>
        </w:rPr>
      </w:pPr>
    </w:p>
    <w:p w14:paraId="24FACD66">
      <w:pPr>
        <w:tabs>
          <w:tab w:val="left" w:pos="7060"/>
          <w:tab w:val="left" w:pos="8000"/>
        </w:tabs>
        <w:ind w:firstLine="424" w:firstLineChars="202"/>
        <w:jc w:val="left"/>
        <w:rPr>
          <w:rFonts w:hint="eastAsia" w:hAnsi="宋体"/>
          <w:kern w:val="0"/>
          <w:szCs w:val="21"/>
          <w:lang w:val="en-US" w:eastAsia="zh-CN"/>
        </w:rPr>
      </w:pPr>
    </w:p>
    <w:p w14:paraId="710BF47E">
      <w:pPr>
        <w:tabs>
          <w:tab w:val="left" w:pos="7060"/>
          <w:tab w:val="left" w:pos="8000"/>
        </w:tabs>
        <w:ind w:firstLine="424" w:firstLineChars="202"/>
        <w:jc w:val="left"/>
        <w:rPr>
          <w:rFonts w:hint="eastAsia" w:hAnsi="宋体"/>
          <w:kern w:val="0"/>
          <w:szCs w:val="21"/>
          <w:lang w:val="en-US" w:eastAsia="zh-CN"/>
        </w:rPr>
      </w:pPr>
    </w:p>
    <w:p w14:paraId="1929FB3D">
      <w:pPr>
        <w:tabs>
          <w:tab w:val="left" w:pos="7060"/>
          <w:tab w:val="left" w:pos="8000"/>
        </w:tabs>
        <w:ind w:firstLine="424" w:firstLineChars="202"/>
        <w:jc w:val="left"/>
        <w:rPr>
          <w:rFonts w:hint="eastAsia" w:hAnsi="宋体"/>
          <w:kern w:val="0"/>
          <w:szCs w:val="21"/>
          <w:lang w:val="en-US" w:eastAsia="zh-CN"/>
        </w:rPr>
      </w:pPr>
    </w:p>
    <w:p w14:paraId="3364DD65">
      <w:pPr>
        <w:tabs>
          <w:tab w:val="left" w:pos="7060"/>
          <w:tab w:val="left" w:pos="8000"/>
        </w:tabs>
        <w:ind w:firstLine="424" w:firstLineChars="202"/>
        <w:jc w:val="left"/>
        <w:rPr>
          <w:rFonts w:hint="eastAsia" w:hAnsi="宋体"/>
          <w:kern w:val="0"/>
          <w:szCs w:val="21"/>
          <w:lang w:val="en-US" w:eastAsia="zh-CN"/>
        </w:rPr>
      </w:pPr>
    </w:p>
    <w:p w14:paraId="4ED24885">
      <w:pPr>
        <w:tabs>
          <w:tab w:val="left" w:pos="7060"/>
          <w:tab w:val="left" w:pos="8000"/>
        </w:tabs>
        <w:ind w:firstLine="424" w:firstLineChars="202"/>
        <w:jc w:val="left"/>
        <w:rPr>
          <w:rFonts w:hint="eastAsia" w:hAnsi="宋体"/>
          <w:kern w:val="0"/>
          <w:szCs w:val="21"/>
          <w:lang w:val="en-US" w:eastAsia="zh-CN"/>
        </w:rPr>
      </w:pPr>
    </w:p>
    <w:p w14:paraId="3A1383A7">
      <w:pPr>
        <w:tabs>
          <w:tab w:val="left" w:pos="7060"/>
          <w:tab w:val="left" w:pos="8000"/>
        </w:tabs>
        <w:ind w:firstLine="424" w:firstLineChars="202"/>
        <w:jc w:val="left"/>
        <w:rPr>
          <w:rFonts w:hint="eastAsia" w:hAnsi="宋体"/>
          <w:kern w:val="0"/>
          <w:szCs w:val="21"/>
          <w:lang w:val="en-US" w:eastAsia="zh-CN"/>
        </w:rPr>
      </w:pPr>
    </w:p>
    <w:p w14:paraId="02A2D6FD">
      <w:pPr>
        <w:tabs>
          <w:tab w:val="left" w:pos="7060"/>
          <w:tab w:val="left" w:pos="8000"/>
        </w:tabs>
        <w:ind w:firstLine="424" w:firstLineChars="202"/>
        <w:jc w:val="left"/>
        <w:rPr>
          <w:rFonts w:hint="eastAsia" w:hAnsi="宋体"/>
          <w:kern w:val="0"/>
          <w:szCs w:val="21"/>
          <w:lang w:val="en-US" w:eastAsia="zh-CN"/>
        </w:rPr>
      </w:pPr>
    </w:p>
    <w:p w14:paraId="6189BA47">
      <w:pPr>
        <w:tabs>
          <w:tab w:val="left" w:pos="7060"/>
          <w:tab w:val="left" w:pos="8000"/>
        </w:tabs>
        <w:ind w:firstLine="424" w:firstLineChars="202"/>
        <w:jc w:val="left"/>
        <w:rPr>
          <w:rFonts w:hint="eastAsia" w:hAnsi="宋体"/>
          <w:kern w:val="0"/>
          <w:szCs w:val="21"/>
          <w:lang w:val="en-US" w:eastAsia="zh-CN"/>
        </w:rPr>
      </w:pPr>
    </w:p>
    <w:p w14:paraId="30719523">
      <w:pPr>
        <w:tabs>
          <w:tab w:val="left" w:pos="7060"/>
          <w:tab w:val="left" w:pos="8000"/>
        </w:tabs>
        <w:ind w:firstLine="424" w:firstLineChars="202"/>
        <w:jc w:val="left"/>
        <w:rPr>
          <w:rFonts w:hint="eastAsia" w:hAnsi="宋体"/>
          <w:kern w:val="0"/>
          <w:szCs w:val="21"/>
          <w:lang w:val="en-US" w:eastAsia="zh-CN"/>
        </w:rPr>
      </w:pPr>
    </w:p>
    <w:p w14:paraId="0FB483BD">
      <w:pPr>
        <w:tabs>
          <w:tab w:val="left" w:pos="7060"/>
          <w:tab w:val="left" w:pos="8000"/>
        </w:tabs>
        <w:ind w:firstLine="424" w:firstLineChars="202"/>
        <w:jc w:val="left"/>
        <w:rPr>
          <w:rFonts w:hint="eastAsia" w:hAnsi="宋体"/>
          <w:kern w:val="0"/>
          <w:szCs w:val="21"/>
          <w:lang w:val="en-US" w:eastAsia="zh-CN"/>
        </w:rPr>
      </w:pPr>
    </w:p>
    <w:p w14:paraId="4FAD7890">
      <w:pPr>
        <w:tabs>
          <w:tab w:val="left" w:pos="7060"/>
          <w:tab w:val="left" w:pos="8000"/>
        </w:tabs>
        <w:ind w:firstLine="424" w:firstLineChars="202"/>
        <w:jc w:val="left"/>
        <w:rPr>
          <w:rFonts w:hint="eastAsia" w:hAnsi="宋体"/>
          <w:kern w:val="0"/>
          <w:szCs w:val="21"/>
          <w:lang w:val="en-US" w:eastAsia="zh-CN"/>
        </w:rPr>
      </w:pPr>
    </w:p>
    <w:p w14:paraId="7A234F36">
      <w:pPr>
        <w:tabs>
          <w:tab w:val="left" w:pos="7060"/>
          <w:tab w:val="left" w:pos="8000"/>
        </w:tabs>
        <w:ind w:firstLine="424" w:firstLineChars="202"/>
        <w:jc w:val="left"/>
        <w:rPr>
          <w:rFonts w:hint="eastAsia" w:hAnsi="宋体"/>
          <w:kern w:val="0"/>
          <w:szCs w:val="21"/>
          <w:lang w:val="en-US" w:eastAsia="zh-CN"/>
        </w:rPr>
      </w:pPr>
    </w:p>
    <w:p w14:paraId="4C44FF68">
      <w:pPr>
        <w:tabs>
          <w:tab w:val="left" w:pos="7060"/>
          <w:tab w:val="left" w:pos="8000"/>
        </w:tabs>
        <w:ind w:firstLine="424" w:firstLineChars="202"/>
        <w:jc w:val="left"/>
        <w:rPr>
          <w:rFonts w:hint="eastAsia" w:hAnsi="宋体"/>
          <w:kern w:val="0"/>
          <w:szCs w:val="21"/>
          <w:lang w:val="en-US" w:eastAsia="zh-CN"/>
        </w:rPr>
      </w:pPr>
    </w:p>
    <w:p w14:paraId="0954474F">
      <w:pPr>
        <w:tabs>
          <w:tab w:val="left" w:pos="7060"/>
          <w:tab w:val="left" w:pos="8000"/>
        </w:tabs>
        <w:ind w:firstLine="424" w:firstLineChars="202"/>
        <w:jc w:val="left"/>
        <w:rPr>
          <w:rFonts w:hint="eastAsia" w:hAnsi="宋体"/>
          <w:kern w:val="0"/>
          <w:szCs w:val="21"/>
          <w:lang w:val="en-US" w:eastAsia="zh-CN"/>
        </w:rPr>
      </w:pPr>
    </w:p>
    <w:p w14:paraId="3AC2E709">
      <w:pPr>
        <w:spacing w:line="600" w:lineRule="exact"/>
        <w:jc w:val="center"/>
        <w:rPr>
          <w:rFonts w:hint="eastAsia" w:ascii="方正小标宋简体" w:hAnsi="宋体" w:eastAsia="方正小标宋简体" w:cs="宋体"/>
          <w:sz w:val="44"/>
          <w:szCs w:val="44"/>
        </w:rPr>
      </w:pPr>
      <w:bookmarkStart w:id="1" w:name="_GoBack"/>
      <w:bookmarkEnd w:id="1"/>
      <w:r>
        <w:rPr>
          <w:rFonts w:hint="eastAsia" w:ascii="方正小标宋简体" w:hAnsi="宋体" w:eastAsia="方正小标宋简体" w:cs="宋体"/>
          <w:sz w:val="44"/>
          <w:szCs w:val="44"/>
        </w:rPr>
        <w:t>新建北京至唐山铁路北京城市副中心站工程建设单位管理甲供物资（动车组列车驾驶仿真培训系统）异议提出方式及主要内容</w:t>
      </w:r>
    </w:p>
    <w:p w14:paraId="19D9D2A9">
      <w:pPr>
        <w:snapToGrid w:val="0"/>
        <w:spacing w:line="360" w:lineRule="auto"/>
        <w:rPr>
          <w:rFonts w:hint="eastAsia" w:ascii="仿宋_GB2312" w:hAnsi="仿宋" w:eastAsia="仿宋_GB2312" w:cs="仿宋"/>
          <w:sz w:val="28"/>
          <w:szCs w:val="28"/>
        </w:rPr>
      </w:pPr>
    </w:p>
    <w:p w14:paraId="6CD84B5E">
      <w:pPr>
        <w:snapToGrid w:val="0"/>
        <w:spacing w:line="360" w:lineRule="auto"/>
        <w:ind w:left="567" w:leftChars="270"/>
        <w:rPr>
          <w:rFonts w:hint="eastAsia" w:ascii="仿宋_GB2312" w:hAnsi="仿宋" w:eastAsia="仿宋_GB2312" w:cs="仿宋"/>
          <w:sz w:val="28"/>
          <w:szCs w:val="28"/>
        </w:rPr>
      </w:pPr>
      <w:r>
        <w:rPr>
          <w:rFonts w:hint="eastAsia" w:ascii="仿宋_GB2312" w:hAnsi="仿宋" w:eastAsia="仿宋_GB2312" w:cs="仿宋"/>
          <w:spacing w:val="140"/>
          <w:kern w:val="0"/>
          <w:sz w:val="28"/>
          <w:szCs w:val="28"/>
          <w:fitText w:val="3080" w:id="1251815725"/>
        </w:rPr>
        <w:t>招标异议地</w:t>
      </w:r>
      <w:r>
        <w:rPr>
          <w:rFonts w:hint="eastAsia" w:ascii="仿宋_GB2312" w:hAnsi="仿宋" w:eastAsia="仿宋_GB2312" w:cs="仿宋"/>
          <w:spacing w:val="0"/>
          <w:kern w:val="0"/>
          <w:sz w:val="28"/>
          <w:szCs w:val="28"/>
          <w:fitText w:val="3080" w:id="1251815725"/>
        </w:rPr>
        <w:t>址</w:t>
      </w:r>
      <w:r>
        <w:rPr>
          <w:rFonts w:hint="eastAsia" w:ascii="仿宋_GB2312" w:hAnsi="仿宋" w:eastAsia="仿宋_GB2312" w:cs="仿宋"/>
          <w:sz w:val="28"/>
          <w:szCs w:val="28"/>
        </w:rPr>
        <w:t>：唐山市路北区学院北路304号</w:t>
      </w:r>
    </w:p>
    <w:p w14:paraId="678D85B3">
      <w:pPr>
        <w:snapToGrid w:val="0"/>
        <w:spacing w:line="360" w:lineRule="auto"/>
        <w:ind w:firstLine="3920" w:firstLineChars="1400"/>
        <w:rPr>
          <w:rFonts w:hint="eastAsia" w:ascii="仿宋_GB2312" w:hAnsi="仿宋" w:eastAsia="仿宋_GB2312" w:cs="仿宋"/>
          <w:sz w:val="28"/>
          <w:szCs w:val="28"/>
        </w:rPr>
      </w:pPr>
      <w:r>
        <w:rPr>
          <w:rFonts w:hint="eastAsia" w:ascii="仿宋_GB2312" w:hAnsi="仿宋" w:eastAsia="仿宋_GB2312" w:cs="仿宋"/>
          <w:sz w:val="28"/>
          <w:szCs w:val="28"/>
        </w:rPr>
        <w:t>唐山金融中心B座10层</w:t>
      </w:r>
    </w:p>
    <w:p w14:paraId="3B4F050F">
      <w:pPr>
        <w:snapToGrid w:val="0"/>
        <w:spacing w:line="360" w:lineRule="auto"/>
        <w:ind w:left="567" w:leftChars="270"/>
        <w:rPr>
          <w:rFonts w:hint="default" w:ascii="仿宋_GB2312" w:hAnsi="仿宋" w:eastAsia="仿宋_GB2312" w:cs="仿宋"/>
          <w:sz w:val="28"/>
          <w:szCs w:val="28"/>
          <w:lang w:val="en-US"/>
        </w:rPr>
      </w:pPr>
      <w:r>
        <w:rPr>
          <w:rFonts w:hint="eastAsia" w:ascii="仿宋_GB2312" w:hAnsi="仿宋" w:eastAsia="仿宋_GB2312" w:cs="仿宋"/>
          <w:spacing w:val="93"/>
          <w:kern w:val="0"/>
          <w:sz w:val="28"/>
          <w:szCs w:val="28"/>
          <w:fitText w:val="3080" w:id="1850834310"/>
        </w:rPr>
        <w:t>招标异议联系</w:t>
      </w:r>
      <w:r>
        <w:rPr>
          <w:rFonts w:hint="eastAsia" w:ascii="仿宋_GB2312" w:hAnsi="仿宋" w:eastAsia="仿宋_GB2312" w:cs="仿宋"/>
          <w:spacing w:val="2"/>
          <w:kern w:val="0"/>
          <w:sz w:val="28"/>
          <w:szCs w:val="28"/>
          <w:fitText w:val="3080" w:id="1850834310"/>
        </w:rPr>
        <w:t>人</w:t>
      </w:r>
      <w:r>
        <w:rPr>
          <w:rFonts w:hint="eastAsia" w:ascii="仿宋_GB2312" w:hAnsi="仿宋" w:eastAsia="仿宋_GB2312" w:cs="仿宋"/>
          <w:sz w:val="28"/>
          <w:szCs w:val="28"/>
        </w:rPr>
        <w:t>：</w:t>
      </w:r>
      <w:r>
        <w:rPr>
          <w:rFonts w:hint="eastAsia" w:ascii="仿宋_GB2312" w:hAnsi="仿宋" w:eastAsia="仿宋_GB2312" w:cs="仿宋"/>
          <w:sz w:val="28"/>
          <w:szCs w:val="28"/>
          <w:lang w:val="en-US" w:eastAsia="zh-CN"/>
        </w:rPr>
        <w:t>石先生</w:t>
      </w:r>
    </w:p>
    <w:p w14:paraId="0C3FA439">
      <w:pPr>
        <w:snapToGrid w:val="0"/>
        <w:spacing w:line="360" w:lineRule="auto"/>
        <w:ind w:left="567" w:leftChars="270"/>
        <w:rPr>
          <w:rFonts w:hint="eastAsia" w:ascii="仿宋_GB2312" w:hAnsi="仿宋" w:eastAsia="仿宋_GB2312" w:cs="仿宋"/>
          <w:sz w:val="28"/>
          <w:szCs w:val="28"/>
        </w:rPr>
      </w:pPr>
      <w:r>
        <w:rPr>
          <w:rFonts w:hint="eastAsia" w:ascii="仿宋_GB2312" w:hAnsi="仿宋" w:eastAsia="仿宋_GB2312" w:cs="仿宋"/>
          <w:spacing w:val="140"/>
          <w:kern w:val="0"/>
          <w:sz w:val="28"/>
          <w:szCs w:val="28"/>
          <w:fitText w:val="3080" w:id="243804617"/>
        </w:rPr>
        <w:t>招标异议电</w:t>
      </w:r>
      <w:r>
        <w:rPr>
          <w:rFonts w:hint="eastAsia" w:ascii="仿宋_GB2312" w:hAnsi="仿宋" w:eastAsia="仿宋_GB2312" w:cs="仿宋"/>
          <w:spacing w:val="0"/>
          <w:kern w:val="0"/>
          <w:sz w:val="28"/>
          <w:szCs w:val="28"/>
          <w:fitText w:val="3080" w:id="243804617"/>
        </w:rPr>
        <w:t>话</w:t>
      </w:r>
      <w:r>
        <w:rPr>
          <w:rFonts w:hint="eastAsia" w:ascii="仿宋_GB2312" w:hAnsi="仿宋" w:eastAsia="仿宋_GB2312" w:cs="仿宋"/>
          <w:sz w:val="28"/>
          <w:szCs w:val="28"/>
        </w:rPr>
        <w:t>：18611648393，0315-8072824</w:t>
      </w:r>
    </w:p>
    <w:p w14:paraId="71EF9085">
      <w:pPr>
        <w:snapToGrid w:val="0"/>
        <w:spacing w:line="360" w:lineRule="auto"/>
        <w:ind w:left="567" w:leftChars="270"/>
        <w:rPr>
          <w:rFonts w:ascii="仿宋_GB2312" w:hAnsi="仿宋" w:eastAsia="仿宋_GB2312" w:cs="仿宋"/>
          <w:sz w:val="28"/>
          <w:szCs w:val="28"/>
        </w:rPr>
      </w:pPr>
      <w:r>
        <w:rPr>
          <w:rFonts w:hint="eastAsia" w:ascii="仿宋_GB2312" w:hAnsi="仿宋" w:eastAsia="仿宋_GB2312" w:cs="仿宋"/>
          <w:spacing w:val="7"/>
          <w:kern w:val="0"/>
          <w:sz w:val="28"/>
          <w:szCs w:val="28"/>
          <w:fitText w:val="3080" w:id="382343366"/>
        </w:rPr>
        <w:t>招标异议联系传真/邮</w:t>
      </w:r>
      <w:r>
        <w:rPr>
          <w:rFonts w:hint="eastAsia" w:ascii="仿宋_GB2312" w:hAnsi="仿宋" w:eastAsia="仿宋_GB2312" w:cs="仿宋"/>
          <w:spacing w:val="3"/>
          <w:kern w:val="0"/>
          <w:sz w:val="28"/>
          <w:szCs w:val="28"/>
          <w:fitText w:val="3080" w:id="382343366"/>
        </w:rPr>
        <w:t>箱</w:t>
      </w:r>
      <w:r>
        <w:rPr>
          <w:rFonts w:hint="eastAsia" w:ascii="仿宋_GB2312" w:hAnsi="仿宋" w:eastAsia="仿宋_GB2312" w:cs="仿宋"/>
          <w:sz w:val="28"/>
          <w:szCs w:val="28"/>
        </w:rPr>
        <w:t xml:space="preserve">：zgtwjtzb@163.com </w:t>
      </w:r>
    </w:p>
    <w:p w14:paraId="6F009866">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异议函件应包括以下主要内容:</w:t>
      </w:r>
    </w:p>
    <w:p w14:paraId="04E36CF5">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（一）异议人的名称、地址、联系人及联系电话、电子邮箱等有效联系方式；</w:t>
      </w:r>
    </w:p>
    <w:p w14:paraId="2096AB54">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（二）异议事项涉及的项目名称、基本事实及相关证明材料；</w:t>
      </w:r>
    </w:p>
    <w:p w14:paraId="4F376AF0">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（三）异议请求及主张；</w:t>
      </w:r>
    </w:p>
    <w:p w14:paraId="6F824375">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（四）异议人应提供与物资采购活动存在利害关系的证明材料；</w:t>
      </w:r>
    </w:p>
    <w:p w14:paraId="7362DDD5">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（五）异议函件有关材料是外文的，异议人应同时提供其中文译本，并附相关的真实性证明；</w:t>
      </w:r>
    </w:p>
    <w:p w14:paraId="19CF3B8A">
      <w:pPr>
        <w:snapToGrid w:val="0"/>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（六）异议人已向有关行政监督部门投诉并被受理的应一并说明。</w:t>
      </w:r>
    </w:p>
    <w:p w14:paraId="00AB0EDA">
      <w:pPr>
        <w:snapToGrid w:val="0"/>
        <w:spacing w:line="360" w:lineRule="auto"/>
        <w:ind w:firstLine="560" w:firstLineChars="200"/>
      </w:pPr>
      <w:r>
        <w:rPr>
          <w:rFonts w:hint="eastAsia" w:ascii="仿宋_GB2312" w:hAnsi="仿宋" w:eastAsia="仿宋_GB2312" w:cs="仿宋"/>
          <w:sz w:val="28"/>
          <w:szCs w:val="28"/>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附有效身份证明复印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4596136"/>
    </w:sdtPr>
    <w:sdtContent>
      <w:p w14:paraId="5AF9C782">
        <w:pPr>
          <w:pStyle w:val="4"/>
          <w:jc w:val="center"/>
        </w:pPr>
        <w:r>
          <w:fldChar w:fldCharType="begin"/>
        </w:r>
        <w:r>
          <w:instrText xml:space="preserve">PAGE   \* MERGEFORMAT</w:instrText>
        </w:r>
        <w:r>
          <w:fldChar w:fldCharType="separate"/>
        </w:r>
        <w:r>
          <w:rPr>
            <w:lang w:val="zh-CN"/>
          </w:rPr>
          <w:t>4</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1F8C9">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8415" b="1905"/>
              <wp:wrapNone/>
              <wp:docPr id="161617372"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10745A73">
                          <w:pPr>
                            <w:pStyle w:val="4"/>
                          </w:pPr>
                          <w:r>
                            <w:fldChar w:fldCharType="begin"/>
                          </w:r>
                          <w:r>
                            <w:instrText xml:space="preserve"> PAGE  \* MERGEFORMAT </w:instrText>
                          </w:r>
                          <w:r>
                            <w:fldChar w:fldCharType="separate"/>
                          </w:r>
                          <w:r>
                            <w:t>124</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0sfT/UAQAAngMAAA4AAABkcnMvZTJvRG9jLnhtbK1TS27bMBDdF8gd&#10;CO5rWXYcB4LlIIWRoEDRFkh7AJqiLAL8gUNb8gXaG3TVTfc9l8/RISU5TbLJIhAgjYajN++9Ga1u&#10;Oq3IQXiQ1pQ0n0wpEYbbSppdSb9/u3t/TQkEZiqmrBElPQqgN+uLd6vWFWJmG6sq4QmCGChaV9Im&#10;BFdkGfBGaAYT64TBw9p6zQK++l1WedYiulbZbDq9ylrrK+ctFwCY3fSHdED0rwG0dS252Fi+18KE&#10;HtULxQJKgkY6oOvEtq4FD1/qGkQgqqSoNKQ7NsF4G+/ZesWKnWeukXygwF5D4ZkmzaTBpmeoDQuM&#10;7L18AaUl9xZsHSbc6qwXkhxBFfn0mTcPDXMiaUGrwZ1Nh7eD5Z8PXz2RFW7CFV7L+XJGiWEaB3/6&#10;9fP0++/pzw8yjza1DgqsfnBYH7oPtsNPxjxgMqrvaq/jE3URPEeTj2eTRRcIx+RiubxeUMLxJJ/n&#10;l5eLCJI9fus8hHthNYlBST2OMDnLDp8g9KVjSWxl7J1UKo1RmScJxIyZLBLvCcYodNtuULO11RHF&#10;tDj9khpcdkrUR4PmxkUZAz8G2zHYOy93DVLLEy9wt/uAJBK32KGHHRrj2JK6YcXiXvz/nqoef6v1&#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L3UTQAAAAAgEAAA8AAAAAAAAAAQAgAAAAIgAAAGRy&#10;cy9kb3ducmV2LnhtbFBLAQIUABQAAAAIAIdO4kD9LH0/1AEAAJ4DAAAOAAAAAAAAAAEAIAAAAB8B&#10;AABkcnMvZTJvRG9jLnhtbFBLBQYAAAAABgAGAFkBAABlBQAAAAA=&#10;">
              <v:fill on="f" focussize="0,0"/>
              <v:stroke on="f"/>
              <v:imagedata o:title=""/>
              <o:lock v:ext="edit" aspectratio="f"/>
              <v:textbox inset="0mm,0mm,0mm,0mm" style="mso-fit-shape-to-text:t;">
                <w:txbxContent>
                  <w:p w14:paraId="10745A73">
                    <w:pPr>
                      <w:pStyle w:val="4"/>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5777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5F406A"/>
    <w:rsid w:val="23D82AD1"/>
    <w:rsid w:val="4C0373D9"/>
    <w:rsid w:val="4C871DB8"/>
    <w:rsid w:val="72847BE6"/>
    <w:rsid w:val="751853F4"/>
    <w:rsid w:val="7A4F5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widowControl/>
      <w:spacing w:after="120"/>
      <w:jc w:val="left"/>
    </w:pPr>
    <w:rPr>
      <w:rFonts w:cs="Times New Roman"/>
      <w:kern w:val="0"/>
    </w:rPr>
  </w:style>
  <w:style w:type="paragraph" w:styleId="4">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908</Words>
  <Characters>1019</Characters>
  <Lines>0</Lines>
  <Paragraphs>0</Paragraphs>
  <TotalTime>0</TotalTime>
  <ScaleCrop>false</ScaleCrop>
  <LinksUpToDate>false</LinksUpToDate>
  <CharactersWithSpaces>1126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2025-09-10T02:59:00Z</dcterms:created>
  <dc:creator>David</dc:creator>
  <cp:lastModifiedBy>David</cp:lastModifiedBy>
  <dcterms:modified xsi:type="dcterms:W3CDTF">2025-09-10T03:03:05Z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eyJoZGlkIjoiNDliMzJjZjFlNzEzOGQxMTQ4MjE2MzhkNGUxZGE2ODgiLCJ1c2VySWQiOiI0NjI4MDc3NjQifQ==</vt:lpwstr>
  </property>
  <property fmtid="{D5CDD505-2E9C-101B-9397-08002B2CF9AE}" pid="4" name="ICV">
    <vt:lpwstr>8948CDF7A9984C88BC4A172434A47EFC_12</vt:lpwstr>
  </property>
</Properties>
</file>